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drawing>
          <wp:inline distT="0" distB="0" distL="0" distR="0">
            <wp:extent cx="1143000" cy="847725"/>
            <wp:effectExtent t="0" r="0" b="0" l="0"/>
            <wp:docPr id="1" name="logo" descr="logó" title="Munkában Jól 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16324F"/>
          <w:sz w:val="40"/>
          <w:szCs w:val="40"/>
        </w:rPr>
        <w:t xml:space="preserve">Szakmai háttér és irodalomjegyzék</w:t>
      </w:r>
    </w:p>
    <w:p>
      <w:pPr>
        <w:spacing w:after="140"/>
      </w:pPr>
      <w:r>
        <w:rPr>
          <w:color w:val="4A4F57"/>
          <w:sz w:val="23"/>
          <w:szCs w:val="23"/>
        </w:rPr>
        <w:t xml:space="preserve">A szociális ágazati és az egészségügyi mintaprotokoll tudományos alátámasztása – a dokumentumcsomag tartalmával</w:t>
      </w:r>
    </w:p>
    <w:p>
      <w:pPr>
        <w:pBdr>
          <w:bottom w:val="single" w:color="C89B2C" w:sz="8" w:space="8"/>
        </w:pBdr>
        <w:spacing w:after="240"/>
      </w:pPr>
      <w:r>
        <w:rPr>
          <w:color w:val="4A4F57"/>
          <w:sz w:val="18"/>
          <w:szCs w:val="18"/>
        </w:rPr>
        <w:t xml:space="preserve">v1.0 • 2026. október • melléklet a Munkában Jól 2027 szakmai dokumentumaihoz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/>
              <w:left w:val="single" w:color="C89B2C" w:sz="24"/>
              <w:bottom w:val="none"/>
              <w:right w:val="none"/>
            </w:tcBorders>
            <w:shd w:fill="F7F2E8" w:color="auto" w:val="clear"/>
            <w:tcMar>
              <w:top w:type="dxa" w:w="140"/>
              <w:left w:type="dxa" w:w="220"/>
              <w:bottom w:type="dxa" w:w="12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16324F"/>
              </w:rPr>
              <w:t xml:space="preserve">Mire való ez a melléklet?</w:t>
            </w:r>
          </w:p>
          <w:p>
            <w:pPr>
              <w:spacing w:after="80" w:line="266"/>
            </w:pPr>
            <w:r>
              <w:rPr>
                <w:color w:val="222222"/>
              </w:rPr>
              <w:t xml:space="preserve">Megmutatja, milyen kutatási eredményekre és nemzetközi szakmai keretekre épülnek a mintaprotokollok egyes elemei. Minden elemnél jelezzük a bizonyíték erősségét is.</w:t>
            </w:r>
          </w:p>
          <w:p>
            <w:pPr>
              <w:spacing w:after="80" w:line="266"/>
            </w:pPr>
            <w:r>
              <w:rPr>
                <w:color w:val="222222"/>
              </w:rPr>
              <w:t xml:space="preserve">A cél nem az, hogy a protokollok erősebbnek tűnjenek, mint amit a kutatás alátámaszt. A cél az, hogy látható legyen: mi épül szilárd bizonyítékra, mi szakmai konszenzusra, és hol hiányzik még a hazai adat.</w:t>
            </w:r>
          </w:p>
        </w:tc>
      </w:tr>
    </w:tbl>
    <w:p>
      <w:pPr>
        <w:spacing w:after="160"/>
      </w:pPr>
    </w:p>
    <w:p>
      <w:pPr>
        <w:pStyle w:val="Heading1"/>
      </w:pPr>
      <w:r>
        <w:t xml:space="preserve">1. A dokumentumcsomag tartalma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100"/>
        <w:gridCol w:w="3938"/>
        <w:gridCol w:w="1600"/>
      </w:tblGrid>
      <w:tr>
        <w:trPr>
          <w:tblHeader/>
        </w:trPr>
        <w:tc>
          <w:tcPr>
            <w:tcW w:type="dxa" w:w="3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Dokumentum</w:t>
            </w:r>
          </w:p>
        </w:tc>
        <w:tc>
          <w:tcPr>
            <w:tcW w:type="dxa" w:w="11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Változat</w:t>
            </w:r>
          </w:p>
        </w:tc>
        <w:tc>
          <w:tcPr>
            <w:tcW w:type="dxa" w:w="39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Tartalom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Kinek szól?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Programtervezési és mérési útmutató</w:t>
            </w:r>
          </w:p>
        </w:tc>
        <w:tc>
          <w:tcPr>
            <w:tcW w:type="dxa" w:w="11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v2.1</w:t>
            </w:r>
          </w:p>
        </w:tc>
        <w:tc>
          <w:tcPr>
            <w:tcW w:type="dxa" w:w="39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Munkában Jól 8 lépéses folyamata, mérési területek, adatvédelmi alapszabályok, kapcsolódási rétegek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minden szervezet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Akcióterv-sablon és mintaprojekt</w:t>
            </w:r>
          </w:p>
        </w:tc>
        <w:tc>
          <w:tcPr>
            <w:tcW w:type="dxa" w:w="11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v2.1</w:t>
            </w:r>
          </w:p>
        </w:tc>
        <w:tc>
          <w:tcPr>
            <w:tcW w:type="dxa" w:w="39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Kitölthető munkadokumentum a 8 lépéshez, kitöltött vállalati mintával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minden szervezet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Szociális ágazat – szakmai javaslat</w:t>
            </w:r>
          </w:p>
        </w:tc>
        <w:tc>
          <w:tcPr>
            <w:tcW w:type="dxa" w:w="11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v2.0</w:t>
            </w:r>
          </w:p>
        </w:tc>
        <w:tc>
          <w:tcPr>
            <w:tcW w:type="dxa" w:w="39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Ágazati helyzetkép, kapcsolódási pontok a kormányzati célokhoz és az EU-OSHA kampányhoz, pilotterv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Szociális és Családügyi Minisztérium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Szociális ágazati mintaprotokoll és intézkedési napló</w:t>
            </w:r>
          </w:p>
        </w:tc>
        <w:tc>
          <w:tcPr>
            <w:tcW w:type="dxa" w:w="11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v1.0</w:t>
            </w:r>
          </w:p>
        </w:tc>
        <w:tc>
          <w:tcPr>
            <w:tcW w:type="dxa" w:w="39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Intézményi adatlap, rövid kérdőív, műhely, akciókártya, beavatkozási menü, napló, akadálylap, kitöltött minta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szociális intézmények, fenntartók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Egészségügy – szakmai javaslat</w:t>
            </w:r>
          </w:p>
        </w:tc>
        <w:tc>
          <w:tcPr>
            <w:tcW w:type="dxa" w:w="11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v1.0</w:t>
            </w:r>
          </w:p>
        </w:tc>
        <w:tc>
          <w:tcPr>
            <w:tcW w:type="dxa" w:w="39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Ágazati helyzetkép, kapcsolódás a bérreformhoz, a vezetői értékeléshez, a minőségügyhöz; pilotterv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Egészségügyi Minisztérium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Egészségügyi mintaprotokoll és intézkedési napló</w:t>
            </w:r>
          </w:p>
        </w:tc>
        <w:tc>
          <w:tcPr>
            <w:tcW w:type="dxa" w:w="11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v1.0</w:t>
            </w:r>
          </w:p>
        </w:tc>
        <w:tc>
          <w:tcPr>
            <w:tcW w:type="dxa" w:w="39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Osztályi adatlap, rövid kérdőív, megbeszélés, akciókártya, beavatkozási menü, napló, akadálylap, kitöltött minta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kórházak, osztályvezetések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Munkaóra-kalkuláció és szakértői területek</w:t>
            </w:r>
          </w:p>
        </w:tc>
        <w:tc>
          <w:tcPr>
            <w:tcW w:type="dxa" w:w="11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v1.1 (Excel)</w:t>
            </w:r>
          </w:p>
        </w:tc>
        <w:tc>
          <w:tcPr>
            <w:tcW w:type="dxa" w:w="39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Óraigény ágazatonként és szerepkörönként, szakértői területek, téma–szakértő hozzárendelés, vállalati méretprofil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programtervezés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Szakmai háttér és irodalomjegyzék</w:t>
            </w:r>
          </w:p>
        </w:tc>
        <w:tc>
          <w:tcPr>
            <w:tcW w:type="dxa" w:w="11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v1.0</w:t>
            </w:r>
          </w:p>
        </w:tc>
        <w:tc>
          <w:tcPr>
            <w:tcW w:type="dxa" w:w="39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protokollok tudományos alátámasztása és irodalomjegyzéke (ez a dokumentum)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szakmai partnerek, döntéshozók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E melléklet felépítése</w:t>
      </w:r>
    </w:p>
    <w:p>
      <w:pPr>
        <w:spacing w:after="60"/>
        <w:ind w:left="200"/>
      </w:pPr>
      <w:r>
        <w:rPr>
          <w:b/>
          <w:bCs/>
          <w:color w:val="C89B2C"/>
        </w:rPr>
        <w:t xml:space="preserve">2.  </w:t>
      </w:r>
      <w:r>
        <w:t xml:space="preserve">A bizonyítékok erősségének jelölése</w:t>
      </w:r>
    </w:p>
    <w:p>
      <w:pPr>
        <w:spacing w:after="60"/>
        <w:ind w:left="200"/>
      </w:pPr>
      <w:r>
        <w:rPr>
          <w:b/>
          <w:bCs/>
          <w:color w:val="C89B2C"/>
        </w:rPr>
        <w:t xml:space="preserve">3.  </w:t>
      </w:r>
      <w:r>
        <w:t xml:space="preserve">Alapelvek és bizonyítékaik</w:t>
      </w:r>
    </w:p>
    <w:p>
      <w:pPr>
        <w:spacing w:after="60"/>
        <w:ind w:left="200"/>
      </w:pPr>
      <w:r>
        <w:rPr>
          <w:b/>
          <w:bCs/>
          <w:color w:val="C89B2C"/>
        </w:rPr>
        <w:t xml:space="preserve">4.  </w:t>
      </w:r>
      <w:r>
        <w:t xml:space="preserve">A szociális protokoll elemeinek alátámasztása</w:t>
      </w:r>
    </w:p>
    <w:p>
      <w:pPr>
        <w:spacing w:after="60"/>
        <w:ind w:left="200"/>
      </w:pPr>
      <w:r>
        <w:rPr>
          <w:b/>
          <w:bCs/>
          <w:color w:val="C89B2C"/>
        </w:rPr>
        <w:t xml:space="preserve">5.  </w:t>
      </w:r>
      <w:r>
        <w:t xml:space="preserve">Az egészségügyi protokoll elemeinek alátámasztása</w:t>
      </w:r>
    </w:p>
    <w:p>
      <w:pPr>
        <w:spacing w:after="60"/>
        <w:ind w:left="200"/>
      </w:pPr>
      <w:r>
        <w:rPr>
          <w:b/>
          <w:bCs/>
          <w:color w:val="C89B2C"/>
        </w:rPr>
        <w:t xml:space="preserve">6.  </w:t>
      </w:r>
      <w:r>
        <w:t xml:space="preserve">A mérőeszközök szakmai háttere</w:t>
      </w:r>
    </w:p>
    <w:p>
      <w:pPr>
        <w:spacing w:after="60"/>
        <w:ind w:left="200"/>
      </w:pPr>
      <w:r>
        <w:rPr>
          <w:b/>
          <w:bCs/>
          <w:color w:val="C89B2C"/>
        </w:rPr>
        <w:t xml:space="preserve">7.  </w:t>
      </w:r>
      <w:r>
        <w:t xml:space="preserve">Szakmai korlátok és konvenciók</w:t>
      </w:r>
    </w:p>
    <w:p>
      <w:pPr>
        <w:spacing w:after="60"/>
        <w:ind w:left="200"/>
      </w:pPr>
      <w:r>
        <w:rPr>
          <w:b/>
          <w:bCs/>
          <w:color w:val="C89B2C"/>
        </w:rPr>
        <w:t xml:space="preserve">8.  </w:t>
      </w:r>
      <w:r>
        <w:t xml:space="preserve">Irodalomjegyzék</w:t>
      </w:r>
    </w:p>
    <w:p>
      <w:pPr>
        <w:pStyle w:val="Heading1"/>
      </w:pPr>
      <w:r>
        <w:t xml:space="preserve">2. A bizonyítékok erősségének jelölése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638"/>
      </w:tblGrid>
      <w:tr>
        <w:trPr>
          <w:tblHeader/>
        </w:trPr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Jelölés</w:t>
            </w:r>
          </w:p>
        </w:tc>
        <w:tc>
          <w:tcPr>
            <w:tcW w:type="dxa" w:w="76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Jelentés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Erős</w:t>
            </w:r>
          </w:p>
        </w:tc>
        <w:tc>
          <w:tcPr>
            <w:tcW w:type="dxa" w:w="76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Metaanalízis vagy több kontrollált vizsgálat egybehangzó eredménye.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Mérsékelt</w:t>
            </w:r>
          </w:p>
        </w:tc>
        <w:tc>
          <w:tcPr>
            <w:tcW w:type="dxa" w:w="76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Nagy mintás, több országra kiterjedő keresztmetszeti vizsgálat vagy szisztematikus áttekintés. Együttjárást mutat, ok-okozatot nem bizonyít.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Korlátozott</w:t>
            </w:r>
          </w:p>
        </w:tc>
        <w:tc>
          <w:tcPr>
            <w:tcW w:type="dxa" w:w="76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Kevés vizsgálat, programtapasztalat vagy szakmai konszenzus.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Szakmai keret</w:t>
            </w:r>
          </w:p>
        </w:tc>
        <w:tc>
          <w:tcPr>
            <w:tcW w:type="dxa" w:w="76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Nemzetközi szabvány, ajánlás vagy jogszabály; nem kutatási eredmény, hanem elfogadott szakmai viszonyítási pont.</w:t>
            </w:r>
          </w:p>
        </w:tc>
      </w:tr>
    </w:tbl>
    <w:p>
      <w:pPr>
        <w:pStyle w:val="Heading1"/>
      </w:pPr>
      <w:r>
        <w:t xml:space="preserve">3. Alapelvek és bizonyítékaik</w:t>
      </w:r>
    </w:p>
    <w:p>
      <w:pPr>
        <w:spacing w:after="120" w:line="276"/>
      </w:pPr>
      <w:r>
        <w:t xml:space="preserve">A protokollok három alapelvre épülnek: a problémából indulnak ki, csak olyat mérnek, amiből döntés lesz, és nem csak az egyént vizsgálják. Ez utóbbi a legjobban alátámasztott elem.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338"/>
        <w:gridCol w:w="1300"/>
        <w:gridCol w:w="1600"/>
      </w:tblGrid>
      <w:tr>
        <w:trPr>
          <w:tblHeader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Alapelv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Mit mond a kutatás?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Erősség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Forrás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A szervezeti beavatkozás hatékonyabb, mint a kizárólag egyéni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Orvosoknál a szervezeti szintű beavatkozások kiégést csökkentő hatása (SMD −0,45) több mint kétszerese az egyéni szintűekének (SMD −0,18); 19 vizsgálat, 1550 orvos.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Erős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[22]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Az egyéni jólléti programok önmagukban keveset adnak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46 336 brit munkavállaló körében az egyéni programok (mindfulness, reziliencia- és stresszkezelő tréning, relaxáció, appok) résztvevőinél nem volt jobb a jóllét.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Mérsékelt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[9]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A munkaszervezés, a munkaidő és a feltételek együttes változtatása a leghatékonyabb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több elemet egyszerre változtató szervezeti beavatkozások mutatták a legkedvezőbb egészséghatást.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Mérsékelt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[17]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Nemzetközi ajánlás a szervezeti beavatkozásokra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WHO elsősorban szervezeti beavatkozásokat ajánl a pszichoszociális kockázatok kezelésére; a bizonyítékok bizonyossága mérsékelt vagy alacsony.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Szakmai keret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[32, 33]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Egészségügyben a munkaszervezés módosítása csökkentheti a stresszt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munkarend és a munkaszervezés változtatása mérsékelheti a stresszt egészségügyi dolgozóknál.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Korlátozott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[26]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A siker feltétele a részvétel és a folyamatkövetés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szervezeti beavatkozások eredménye a munkavállalói részvételen, a vezetői támogatáson és a megvalósítás követésén múlik.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Mérsékelt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[21]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Ciklikus kockázatkezelés: feltárás, akcióterv, visszamérés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protokollok lépésrendje megfelel a nemzetközi szabványnak és a brit HSE gyakorlatának; a magyar munkavédelmi törvény a pszichoszociális kockázatokat is nevesíti.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Szakmai keret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[12, 11, 20]</w:t>
            </w:r>
          </w:p>
        </w:tc>
      </w:tr>
    </w:tbl>
    <w:p>
      <w:pPr>
        <w:pStyle w:val="Heading1"/>
      </w:pPr>
      <w:r>
        <w:t xml:space="preserve">4. A szociális protokoll elemeinek alátámasztása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4338"/>
        <w:gridCol w:w="1200"/>
        <w:gridCol w:w="1600"/>
      </w:tblGrid>
      <w:tr>
        <w:trPr>
          <w:tblHeader/>
        </w:trPr>
        <w:tc>
          <w:tcPr>
            <w:tcW w:type="dxa" w:w="2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Protokollelem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Mit mond a kutatás?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Erősség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Forrás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Ügyféli agresszió modul (A3/4.), incidensnapló, de-eszkalációs gyakorlat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Német egészségügyi és szociális dolgozók (n = 1973): 12 hónap alatt 56% élt meg fizikai, 78% szóbeli agressziót. Bentlakásos idősellátásban 63% a fizikai, fogyatékos személyek otthonaiban 86% a szóbeli agresszió. Az esetek 41%-át jelentették. Az intézményi képzés alacsonyabb kockázattal és kevesebb stresszel járt együtt.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Mérsékelt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[27]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Szupervízió, esetmegbeszélés, vezetői támogatás (A3/6., beavatkozási menü 4. és 7. sor)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27 vizsgálat, 10 867 munkatárs: a feladatsegítés, az érzelmi támogatás és a jó szupervizori kapcsolat egyaránt kedvező munkatársi kimenetekkel járt (r = 0,30–0,40).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Erős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[19]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Maradási szándék modul (A3/10.)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25 tanulmány metaanalízise: a tényleges kilépés legerősebb előrejelzője a kilépési szándék, emellett a kiégés és a munkával való elégedettség. A szándék ezért jó korai jelző.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Erős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[18]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Szervezeti és egyéni tényezők együttes kezelése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Gyermekvédelmi szociális munkások kiégésében a szervezeti tényezők (terhelés, szupervízió, támogatás) legalább annyit számítanak, mint az egyéniek.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Mérsékelt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[16]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Ágazati fókusz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Az EU-OSHA az egészségügyi és szociális ágazatot kiemelt területként kezeli; szakpolitikai ajánlásai: kockázatértékelés, munkavállalói részvétel, támogató hálózatok, képzés.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Szakmai keret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[7, 8]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Egyedül hagyott helyzetek, éjszakai háttér (A3/3.)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Közvetlen beavatkozásos vizsgálat nem ismert; az elem a támogatás hiányának és az agressziókockázatnak az ismert összefüggéseire épül.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Korlátozott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[27, 19]</w:t>
            </w:r>
          </w:p>
        </w:tc>
      </w:tr>
    </w:tbl>
    <w:p>
      <w:pPr>
        <w:pStyle w:val="Heading1"/>
      </w:pPr>
      <w:r>
        <w:t xml:space="preserve">5. Az egészségügyi protokoll elemeinek alátámasztása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4338"/>
        <w:gridCol w:w="1200"/>
        <w:gridCol w:w="1600"/>
      </w:tblGrid>
      <w:tr>
        <w:trPr>
          <w:tblHeader/>
        </w:trPr>
        <w:tc>
          <w:tcPr>
            <w:tcW w:type="dxa" w:w="2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Protokollelem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Mit mond a kutatás?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Erősség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Forrás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Beteg/ápoló arány az adatlapon (A1), betegbiztonsági keretezés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9 európai ország: minden további beteg, akit egy ápoló ellát, kb. 7%-kal növelte a műtét utáni 30 napos halálozás esélyét.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Mérsékelt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[1]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Munkaidő és pihenés modul (A3/1.)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31 627 ápoló, 12 ország: a legalább 12 órás műszak gyakoribb kiégéssel (érzelmi kimerülés: korrigált esélyhányados 1,26), elégedetlenséggel (1,40) és kilépési szándékkal (1,29) járt együtt.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Mérsékelt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[5]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Elmaradt ellátási feladatok modul (A3/2.)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Az ápolási feladatok elmaradása összefügg a terheléssel és a létszámmal, és az ellátás minőségének érzékeny jelzője.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Mérsékelt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[3]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Kiégés és betegbiztonság kapcsolata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gyengébb jóllét és a kiégés rosszabb betegbiztonsági kimenetekkel jár együtt; orvosoknál a kiégés a biztonsági eseményekkel is összefügg.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Erős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[10, 23]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Agresszió modul (A3/3.), incidensrend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253 vizsgálat, 331 544 egészségügyi dolgozó: egy év alatt 61,9% élt meg munkahelyi erőszakot, 24,4% fizikai erőszakot; a legérintettebb a pszichiátria és a sürgősségi ellátás.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Erős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[15]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Nem kívánt események utáni támogatás (A3/5., beavatkozási menü 5. sor)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„második áldozat” jelenség jól leírt: a hibában érintett munkatárs jellegzetes felépülési szakaszokon megy át, és támogatásra szorul. Kontrollált hatásvizsgálat még kevés.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Korlátozott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[34, 28, 29]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Az esemény utáni beszélgetés formája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kötelező, egyalkalmas pszichológiai „debriefing” nem előzi meg a poszttraumás tüneteket. Ezért a protokollban önkéntes, támogató, kollegiális beszélgetés szerepel, szükség esetén továbbirányítással.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Erős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[25]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Pszichológiai biztonság, „bárki megállíthatja” (A3/6.)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csapatok akkor tanulnak a hibákból, ha a tagok kockázat nélkül jelezhetik az aggályaikat.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Mérsékelt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[6]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Strukturált átadás (beavatkozási menü 8. sor)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strukturált betegátadás bevezetése után 23%-kal csökkentek az orvosi hibák és 30%-kal a megelőzhető nem kívánt események.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Erős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[30]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Magyar háttér</w:t>
            </w:r>
          </w:p>
        </w:tc>
        <w:tc>
          <w:tcPr>
            <w:tcW w:type="dxa" w:w="43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kiégés és a szerepkonfliktus a magyar egészségügyi dolgozóknál is jelentős; a hazai kutatások összefoglalója szerint a megelőzés prioritás.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Mérsékelt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[24, 13]</w:t>
            </w:r>
          </w:p>
        </w:tc>
      </w:tr>
    </w:tbl>
    <w:p>
      <w:pPr>
        <w:pStyle w:val="Heading1"/>
      </w:pPr>
      <w:r>
        <w:t xml:space="preserve">6. A mérőeszközök szakmai háttere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5438"/>
        <w:gridCol w:w="1600"/>
      </w:tblGrid>
      <w:tr>
        <w:trPr>
          <w:tblHeader/>
        </w:trPr>
        <w:tc>
          <w:tcPr>
            <w:tcW w:type="dxa" w:w="2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Eszköz vagy elem</w:t>
            </w:r>
          </w:p>
        </w:tc>
        <w:tc>
          <w:tcPr>
            <w:tcW w:type="dxa" w:w="5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Szakmai háttér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Forrás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A kérdőív modulszerkezete</w:t>
            </w:r>
          </w:p>
        </w:tc>
        <w:tc>
          <w:tcPr>
            <w:tcW w:type="dxa" w:w="5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munkakövetelmény–erőforrás modell: a terhelés (követelmények) és a támogatás, kontroll (erőforrások) egyensúlya határozza meg a kiégés és az elköteleződés alakulását.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[2]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Pszichoszociális skálák</w:t>
            </w:r>
          </w:p>
        </w:tc>
        <w:tc>
          <w:tcPr>
            <w:tcW w:type="dxa" w:w="5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COPSOQ III nemzetközileg validált, díjmentesen használható kérdőív; a mintatételek éles használat előtt ennek vagy a Stressz-M felmérésnek a skáláival hangolandók össze.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[4]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WHO-5 jólléti index</w:t>
            </w:r>
          </w:p>
        </w:tc>
        <w:tc>
          <w:tcPr>
            <w:tcW w:type="dxa" w:w="5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Rövid, széles körben validált mentális jólléti mérőeszköz; magyar változata elérhető.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[31]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Kiégés mérése (opcionális)</w:t>
            </w:r>
          </w:p>
        </w:tc>
        <w:tc>
          <w:tcPr>
            <w:tcW w:type="dxa" w:w="5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Copenhagen Burnout Inventory nyilvánosan elérhető, munkahelyi kiégésre fejlesztett eszköz; magyar változata és használati feltételei ellenőrizendők.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[14]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Kockázatkezelési keret</w:t>
            </w:r>
          </w:p>
        </w:tc>
        <w:tc>
          <w:tcPr>
            <w:tcW w:type="dxa" w:w="5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protokollok a nemzetközi szabvány és a HSE Management Standards ciklikus logikáját követik.</w:t>
            </w:r>
          </w:p>
        </w:tc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[12, 11]</w:t>
            </w:r>
          </w:p>
        </w:tc>
      </w:tr>
    </w:tbl>
    <w:p>
      <w:pPr>
        <w:pStyle w:val="Heading1"/>
      </w:pPr>
      <w:r>
        <w:t xml:space="preserve">7. Szakmai korlátok és konvenciók</w:t>
      </w:r>
    </w:p>
    <w:p>
      <w:pPr>
        <w:spacing w:after="120" w:line="276"/>
      </w:pPr>
      <w:r>
        <w:t xml:space="preserve">A hiteles szakmai kommunikációhoz hozzátartozik, hogy jelezzük, hol gyengébb az alátámasztás.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rPr>
          <w:b/>
          <w:bCs/>
        </w:rPr>
        <w:t xml:space="preserve">A legalább 10 fős csoportküszöb</w:t>
      </w:r>
      <w:r>
        <w:t xml:space="preserve"> szakmai konvenció, nem kutatási eredmény. A munkavállalói felméréseknél jellemzően 5 és 10 fő közötti minimumot alkalmaznak; pszichoszociális témánál a szigorúbb érték indokolt. A végleges küszöböt adatvédelmi szakemberrel kell jóváhagyatni.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rPr>
          <w:b/>
          <w:bCs/>
        </w:rPr>
        <w:t xml:space="preserve">Az esemény utáni beszélgetés időzítése</w:t>
      </w:r>
      <w:r>
        <w:t xml:space="preserve"> (24–72 óra) programtapasztalaton alapul. A lényeg a gyors, önkéntes és támogató jelleg, nem a pontos óraszám.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rPr>
          <w:b/>
          <w:bCs/>
        </w:rPr>
        <w:t xml:space="preserve">A szociális ágazatban</w:t>
      </w:r>
      <w:r>
        <w:t xml:space="preserve"> kevés a kontrollált beavatkozásos vizsgálat. A bizonyítékok többsége keresztmetszeti, vagy a gyermekvédelemből, az idősellátásból és az egészségügyből származik.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rPr>
          <w:b/>
          <w:bCs/>
        </w:rPr>
        <w:t xml:space="preserve">Magyar szociális ágazati, szervezeti szintű beavatkozás-vizsgálatot nem találtunk.</w:t>
      </w:r>
      <w:r>
        <w:t xml:space="preserve"> A pilot éppen ezt a hiányt pótolná, ezért megvalósíthatósági vizsgálatként és nem hatásvizsgálatként terveztük.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rPr>
          <w:b/>
          <w:bCs/>
        </w:rPr>
        <w:t xml:space="preserve">A hatásnagyságok jellemzően mérsékeltek.</w:t>
      </w:r>
      <w:r>
        <w:t xml:space="preserve"> A szervezeti beavatkozások hatása lassan, jellemzően 3–6 hónap után, a szervezeti mutatókban (hiányzás, fluktuáció) 12 hónap körül mutatható ki.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rPr>
          <w:b/>
          <w:bCs/>
        </w:rPr>
        <w:t xml:space="preserve">A protokollok mintatételei</w:t>
      </w:r>
      <w:r>
        <w:t xml:space="preserve"> tervezési javaslatok; validálásuk és pilotban való tesztelésük szükséges. Az NNGYK-tól kért szakmai véleményezés ezekre is kiterjedhet.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/>
              <w:left w:val="single" w:color="7C9473" w:sz="24"/>
              <w:bottom w:val="none"/>
              <w:right w:val="none"/>
            </w:tcBorders>
            <w:shd w:fill="EEF2EC" w:color="auto" w:val="clear"/>
            <w:tcMar>
              <w:top w:type="dxa" w:w="140"/>
              <w:left w:type="dxa" w:w="220"/>
              <w:bottom w:type="dxa" w:w="12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16324F"/>
              </w:rPr>
              <w:t xml:space="preserve">Összegzés</w:t>
            </w:r>
          </w:p>
          <w:p>
            <w:pPr>
              <w:spacing w:after="80" w:line="266"/>
            </w:pPr>
            <w:r>
              <w:rPr>
                <w:color w:val="222222"/>
              </w:rPr>
              <w:t xml:space="preserve">A protokollok legfontosabb állítása – hogy a munkahelyi mentális egészséget a munkaszervezés, a vezetői működés és a szervezeti rendszer szintjén kell kezelni – erős nemzetközi bizonyítékra épül. Az egyes eszközök ágazati alkalmazása hazai tapasztalatot igényel; ezt szolgálja a pilot.</w:t>
            </w:r>
          </w:p>
        </w:tc>
      </w:tr>
    </w:tbl>
    <w:p>
      <w:pPr>
        <w:pStyle w:val="Heading1"/>
      </w:pPr>
      <w:r>
        <w:t xml:space="preserve">8. Irodalomjegyzék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[1]  </w:t>
      </w:r>
      <w:r>
        <w:rPr>
          <w:sz w:val="19"/>
          <w:szCs w:val="19"/>
        </w:rPr>
        <w:t xml:space="preserve">Aiken, L. H., Sloane, D. M., Bruyneel, L. és mtsai (2014). Nurse staffing and education and hospital mortality in nine European countries: a retrospective observational study. The Lancet, 383(9931), 1824–1830.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[2]  </w:t>
      </w:r>
      <w:r>
        <w:rPr>
          <w:sz w:val="19"/>
          <w:szCs w:val="19"/>
        </w:rPr>
        <w:t xml:space="preserve">Bakker, A. B. és Demerouti, E. (2007). The Job Demands-Resources model: state of the art. Journal of Managerial Psychology, 22(3), 309–328.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[3]  </w:t>
      </w:r>
      <w:r>
        <w:rPr>
          <w:sz w:val="19"/>
          <w:szCs w:val="19"/>
        </w:rPr>
        <w:t xml:space="preserve">Ball, J. E., Murrells, T., Rafferty, A. M., Morrow, E. és Griffiths, P. (2014). „Care left undone” during nursing shifts: associations with workload and perceived quality of care. BMJ Quality &amp; Safety, 23(2), 116–125.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[4]  </w:t>
      </w:r>
      <w:r>
        <w:rPr>
          <w:sz w:val="19"/>
          <w:szCs w:val="19"/>
        </w:rPr>
        <w:t xml:space="preserve">Burr, H., Berthelsen, H., Moncada, S. és mtsai (2019). The third version of the Copenhagen Psychosocial Questionnaire. Safety and Health at Work, 10(4), 482–503.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[5]  </w:t>
      </w:r>
      <w:r>
        <w:rPr>
          <w:sz w:val="19"/>
          <w:szCs w:val="19"/>
        </w:rPr>
        <w:t xml:space="preserve">Dall’Ora, C., Griffiths, P., Ball, J., Simon, M. és Aiken, L. H. (2015). Association of 12 h shifts and nurses’ job satisfaction, burnout and intention to leave: findings from a cross-sectional study of 12 European countries. BMJ Open, 5(9), e008331.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[6]  </w:t>
      </w:r>
      <w:r>
        <w:rPr>
          <w:sz w:val="19"/>
          <w:szCs w:val="19"/>
        </w:rPr>
        <w:t xml:space="preserve">Edmondson, A. (1999). Psychological safety and learning behavior in work teams. Administrative Science Quarterly, 44(2), 350–383.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[7]  </w:t>
      </w:r>
      <w:r>
        <w:rPr>
          <w:sz w:val="19"/>
          <w:szCs w:val="19"/>
        </w:rPr>
        <w:t xml:space="preserve">EU-OSHA (2025). How do psychosocial risks impact health and social care sector workers? Key lessons learnt and policy pointers. Bilbao: Európai Munkahelyi Biztonsági és Egészségvédelmi Ügynökség.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[8]  </w:t>
      </w:r>
      <w:r>
        <w:rPr>
          <w:sz w:val="19"/>
          <w:szCs w:val="19"/>
        </w:rPr>
        <w:t xml:space="preserve">EU-OSHA (2026). Healthy Workplaces Campaign 2026–28: Together for mental health at work. Bilbao: Európai Munkahelyi Biztonsági és Egészségvédelmi Ügynökség.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[9]  </w:t>
      </w:r>
      <w:r>
        <w:rPr>
          <w:sz w:val="19"/>
          <w:szCs w:val="19"/>
        </w:rPr>
        <w:t xml:space="preserve">Fleming, W. J. (2024). Employee well-being outcomes from individual-level mental health interventions: cross-sectional evidence from the United Kingdom. Industrial Relations Journal, 55(2), 162–182.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[10]  </w:t>
      </w:r>
      <w:r>
        <w:rPr>
          <w:sz w:val="19"/>
          <w:szCs w:val="19"/>
        </w:rPr>
        <w:t xml:space="preserve">Hall, L. H., Johnson, J., Watt, I., Tsipa, A. és O’Connor, D. B. (2016). Healthcare staff wellbeing, burnout, and patient safety: a systematic review. PLoS One, 11(7), e0159015.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[11]  </w:t>
      </w:r>
      <w:r>
        <w:rPr>
          <w:sz w:val="19"/>
          <w:szCs w:val="19"/>
        </w:rPr>
        <w:t xml:space="preserve">Health and Safety Executive (HSE). Management Standards for work-related stress – tools and templates. hse.gov.uk/stress/standards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[12]  </w:t>
      </w:r>
      <w:r>
        <w:rPr>
          <w:sz w:val="19"/>
          <w:szCs w:val="19"/>
        </w:rPr>
        <w:t xml:space="preserve">ISO 45003:2021. Occupational health and safety management – Psychological health and safety at work – Guidelines for managing psychosocial risks. Genf: International Organization for Standardization.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[13]  </w:t>
      </w:r>
      <w:r>
        <w:rPr>
          <w:sz w:val="19"/>
          <w:szCs w:val="19"/>
        </w:rPr>
        <w:t xml:space="preserve">Kocsicska, I. (2022). Burnout syndrome among health care workers in Hungary – a literature review. Metszetek, 11(3), 62–77.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[14]  </w:t>
      </w:r>
      <w:r>
        <w:rPr>
          <w:sz w:val="19"/>
          <w:szCs w:val="19"/>
        </w:rPr>
        <w:t xml:space="preserve">Kristensen, T. S., Borritz, M., Villadsen, E. és Christensen, K. B. (2005). The Copenhagen Burnout Inventory: a new tool for the assessment of burnout. Work &amp; Stress, 19(3), 192–207.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[15]  </w:t>
      </w:r>
      <w:r>
        <w:rPr>
          <w:sz w:val="19"/>
          <w:szCs w:val="19"/>
        </w:rPr>
        <w:t xml:space="preserve">Liu, J., Gan, Y., Jiang, H. és mtsai (2019). Prevalence of workplace violence against healthcare workers: a systematic review and meta-analysis. Occupational and Environmental Medicine, 76(12), 927–937.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[16]  </w:t>
      </w:r>
      <w:r>
        <w:rPr>
          <w:sz w:val="19"/>
          <w:szCs w:val="19"/>
        </w:rPr>
        <w:t xml:space="preserve">McFadden, P., Campbell, A. és Taylor, B. (2015). Resilience and burnout in child protection social work: individual and organisational themes from a systematic literature review. British Journal of Social Work, 45(5), 1546–1563.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[17]  </w:t>
      </w:r>
      <w:r>
        <w:rPr>
          <w:sz w:val="19"/>
          <w:szCs w:val="19"/>
        </w:rPr>
        <w:t xml:space="preserve">Montano, D., Hoven, H. és Siegrist, J. (2014). Effects of organisational-level interventions at work on employees’ health: a systematic review. BMC Public Health, 14, 135.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[18]  </w:t>
      </w:r>
      <w:r>
        <w:rPr>
          <w:sz w:val="19"/>
          <w:szCs w:val="19"/>
        </w:rPr>
        <w:t xml:space="preserve">Mor Barak, M. E., Nissly, J. A. és Levin, A. (2001). Antecedents to retention and turnover among child welfare, social work, and other human service employees: what can we learn from past research? A review and metanalysis. Social Service Review, 75(4), 625–661.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[19]  </w:t>
      </w:r>
      <w:r>
        <w:rPr>
          <w:sz w:val="19"/>
          <w:szCs w:val="19"/>
        </w:rPr>
        <w:t xml:space="preserve">Mor Barak, M. E., Travis, D. J., Pyun, H. és Xie, B. (2009). The impact of supervision on worker outcomes: a meta-analysis. Social Service Review, 83(1), 3–32.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[20]  </w:t>
      </w:r>
      <w:r>
        <w:rPr>
          <w:sz w:val="19"/>
          <w:szCs w:val="19"/>
        </w:rPr>
        <w:t xml:space="preserve">1993. évi XCIII. törvény a munkavédelemről. njt.hu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[21]  </w:t>
      </w:r>
      <w:r>
        <w:rPr>
          <w:sz w:val="19"/>
          <w:szCs w:val="19"/>
        </w:rPr>
        <w:t xml:space="preserve">Nielsen, K., Randall, R., Holten, A.-L. és González, E. R. (2010). Conducting organizational-level occupational health interventions: what works? Work &amp; Stress, 24(3), 234–259.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[22]  </w:t>
      </w:r>
      <w:r>
        <w:rPr>
          <w:sz w:val="19"/>
          <w:szCs w:val="19"/>
        </w:rPr>
        <w:t xml:space="preserve">Panagioti, M., Panagopoulou, E., Bower, P. és mtsai (2017). Controlled interventions to reduce burnout in physicians: a systematic review and meta-analysis. JAMA Internal Medicine, 177(2), 195–205.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[23]  </w:t>
      </w:r>
      <w:r>
        <w:rPr>
          <w:sz w:val="19"/>
          <w:szCs w:val="19"/>
        </w:rPr>
        <w:t xml:space="preserve">Panagioti, M., Geraghty, K., Johnson, J. és mtsai (2018). Association between physician burnout and patient safety, professionalism, and patient satisfaction: a systematic review and meta-analysis. JAMA Internal Medicine, 178(10), 1317–1331.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[24]  </w:t>
      </w:r>
      <w:r>
        <w:rPr>
          <w:sz w:val="19"/>
          <w:szCs w:val="19"/>
        </w:rPr>
        <w:t xml:space="preserve">Piko, B. F. (2006). Burnout, role conflict, job satisfaction and psychosocial health among Hungarian health care staff: a questionnaire survey. International Journal of Nursing Studies, 43(3), 311–318.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[25]  </w:t>
      </w:r>
      <w:r>
        <w:rPr>
          <w:sz w:val="19"/>
          <w:szCs w:val="19"/>
        </w:rPr>
        <w:t xml:space="preserve">Rose, S., Bisson, J., Churchill, R. és Wessely, S. (2002). Psychological debriefing for preventing post traumatic stress disorder (PTSD). Cochrane Database of Systematic Reviews, (2), CD000560.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[26]  </w:t>
      </w:r>
      <w:r>
        <w:rPr>
          <w:sz w:val="19"/>
          <w:szCs w:val="19"/>
        </w:rPr>
        <w:t xml:space="preserve">Ruotsalainen, J. H., Verbeek, J. H., Mariné, A. és Serra, C. (2015). Preventing occupational stress in healthcare workers. Cochrane Database of Systematic Reviews, (4), CD002892.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[27]  </w:t>
      </w:r>
      <w:r>
        <w:rPr>
          <w:sz w:val="19"/>
          <w:szCs w:val="19"/>
        </w:rPr>
        <w:t xml:space="preserve">Schablon, A., Zeh, A., Wendeler, D. és mtsai (2012). Frequency and consequences of violence and aggression towards employees in the German healthcare and welfare system: a cross-sectional study. BMJ Open, 2(5), e001420.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[28]  </w:t>
      </w:r>
      <w:r>
        <w:rPr>
          <w:sz w:val="19"/>
          <w:szCs w:val="19"/>
        </w:rPr>
        <w:t xml:space="preserve">Scott, S. D., Hirschinger, L. E., Cox, K. R. és mtsai (2009). The natural history of recovery for the healthcare provider „second victim” after adverse patient events. Quality &amp; Safety in Health Care, 18(5), 325–330.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[29]  </w:t>
      </w:r>
      <w:r>
        <w:rPr>
          <w:sz w:val="19"/>
          <w:szCs w:val="19"/>
        </w:rPr>
        <w:t xml:space="preserve">Seys, D., Wu, A. W., Van Gerven, E. és mtsai (2013). Health care professionals as second victims after adverse events: a systematic review. Evaluation &amp; the Health Professions, 36(2), 135–162.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[30]  </w:t>
      </w:r>
      <w:r>
        <w:rPr>
          <w:sz w:val="19"/>
          <w:szCs w:val="19"/>
        </w:rPr>
        <w:t xml:space="preserve">Starmer, A. J., Spector, N. D., Srivastava, R. és mtsai (2014). Changes in medical errors after implementation of a handoff program. New England Journal of Medicine, 371(19), 1803–1812.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[31]  </w:t>
      </w:r>
      <w:r>
        <w:rPr>
          <w:sz w:val="19"/>
          <w:szCs w:val="19"/>
        </w:rPr>
        <w:t xml:space="preserve">Topp, C. W., Østergaard, S. D., Søndergaard, S. és Bech, P. (2015). The WHO-5 Well-Being Index: a systematic review of the literature. Psychotherapy and Psychosomatics, 84(3), 167–176.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[32]  </w:t>
      </w:r>
      <w:r>
        <w:rPr>
          <w:sz w:val="19"/>
          <w:szCs w:val="19"/>
        </w:rPr>
        <w:t xml:space="preserve">World Health Organization (2022). WHO guidelines on mental health at work. Genf: WHO.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[33]  </w:t>
      </w:r>
      <w:r>
        <w:rPr>
          <w:sz w:val="19"/>
          <w:szCs w:val="19"/>
        </w:rPr>
        <w:t xml:space="preserve">World Health Organization és International Labour Organization (2022). Mental health at work: policy brief. Genf: WHO, ILO.</w:t>
      </w:r>
    </w:p>
    <w:p>
      <w:pPr>
        <w:spacing w:after="90" w:line="260"/>
        <w:ind w:left="520" w:hanging="520"/>
      </w:pPr>
      <w:r>
        <w:rPr>
          <w:b/>
          <w:bCs/>
          <w:color w:val="16324F"/>
          <w:sz w:val="19"/>
          <w:szCs w:val="19"/>
        </w:rPr>
        <w:t xml:space="preserve">[34]  </w:t>
      </w:r>
      <w:r>
        <w:rPr>
          <w:sz w:val="19"/>
          <w:szCs w:val="19"/>
        </w:rPr>
        <w:t xml:space="preserve">Wu, A. W. (2000). Medical error: the second victim. BMJ, 320(7237), 726–727.</w:t>
      </w:r>
    </w:p>
    <w:p>
      <w:pPr>
        <w:spacing w:after="120"/>
      </w:pPr>
    </w:p>
    <w:p>
      <w:pPr>
        <w:spacing w:after="120" w:line="276"/>
      </w:pPr>
      <w:r>
        <w:rPr>
          <w:i/>
          <w:iCs/>
          <w:color w:val="4A4F57"/>
          <w:sz w:val="18"/>
          <w:szCs w:val="18"/>
        </w:rPr>
        <w:t xml:space="preserve">A hazai helyzetképi adatok (ágazati létszám, bérek, kamarai felmérések, sajtóforrások) forrásait a két szakmai javaslat irodalomjegyzéke tartalmazza. Ez a melléklet a protokollok tudományos és szakmai keretére összpontosít. Dokumentumstátusz: v1.0, 2026. október; a hazai szakmai útmutatók megjelenése és a pilot tapasztalatai alapján frissül.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C7A3" w:sz="4" w:space="4"/>
      </w:pBdr>
      <w:tabs>
        <w:tab w:val="right" w:pos="9638"/>
      </w:tabs>
    </w:pPr>
    <w:r>
      <w:rPr>
        <w:color w:val="4A4F57"/>
        <w:sz w:val="16"/>
        <w:szCs w:val="16"/>
      </w:rPr>
      <w:t xml:space="preserve">Munkában Jól 2027  |  Szakmai háttér és irodalomjegyzék  |  v1.0  |  www.munkabanjol.hu</w:t>
    </w:r>
    <w:r>
      <w:rPr>
        <w:sz w:val="16"/>
        <w:szCs w:val="16"/>
      </w:rPr>
      <w:t xml:space="preserve">	</w:t>
    </w:r>
    <w:r>
      <w:rPr>
        <w:color w:val="4A4F5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80" w:hanging="240"/>
      </w:pPr>
      <w:rPr>
        <w:color w:val="C89B2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40" w:before="320"/>
      <w:outlineLvl w:val="0"/>
    </w:pPr>
    <w:rPr>
      <w:rFonts w:ascii="Calibri" w:cs="Calibri" w:eastAsia="Calibri" w:hAnsi="Calibri"/>
      <w:b/>
      <w:bCs/>
      <w:color w:val="16324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  <w:outlineLvl w:val="1"/>
    </w:pPr>
    <w:rPr>
      <w:rFonts w:ascii="Calibri" w:cs="Calibri" w:eastAsia="Calibri" w:hAnsi="Calibri"/>
      <w:b/>
      <w:bCs/>
      <w:color w:val="16324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d1b42c0d0cfcd24d5a37f56813e40ae7fad1ab6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Szakmai háttér és irodalomjegyzék – v1.0</dc:title>
  <dc:creator>Wellbeing Social Hub</dc:creator>
  <cp:lastModifiedBy>Un-named</cp:lastModifiedBy>
  <cp:revision>1</cp:revision>
  <dcterms:created xsi:type="dcterms:W3CDTF">2026-10-19T19:59:08.657Z</dcterms:created>
  <dcterms:modified xsi:type="dcterms:W3CDTF">2026-10-19T19:59:08.664Z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